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97" w:rsidRDefault="00526697"/>
    <w:p w:rsidR="00D84974" w:rsidRPr="00D84974" w:rsidRDefault="00D84974" w:rsidP="00D84974">
      <w:r w:rsidRPr="00D84974">
        <w:t>О противодействии коррупции</w:t>
      </w:r>
    </w:p>
    <w:p w:rsidR="00D84974" w:rsidRPr="00D84974" w:rsidRDefault="00D84974" w:rsidP="00D84974">
      <w:bookmarkStart w:id="0" w:name="_GoBack"/>
      <w:r w:rsidRPr="00D84974">
        <w:t>Закон</w:t>
      </w:r>
      <w:bookmarkEnd w:id="0"/>
      <w:r w:rsidRPr="00D84974">
        <w:t xml:space="preserve"> Республики Казахстан от 18 ноября 2015 года № 410-V ЗРК.</w:t>
      </w:r>
    </w:p>
    <w:p w:rsidR="00D84974" w:rsidRDefault="00D84974" w:rsidP="00D84974">
      <w:r w:rsidRPr="00D84974">
        <w:t>          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D84974" w:rsidRDefault="00D84974" w:rsidP="00D84974"/>
    <w:p w:rsidR="00D84974" w:rsidRPr="00D84974" w:rsidRDefault="00D84974" w:rsidP="00D84974">
      <w:r w:rsidRPr="00D84974">
        <w:rPr>
          <w:b/>
          <w:bCs/>
        </w:rPr>
        <w:t>Статья 16. Меры противодействия коррупции в сфере предпринимательства</w:t>
      </w:r>
    </w:p>
    <w:p w:rsidR="00D84974" w:rsidRPr="00D84974" w:rsidRDefault="00D84974" w:rsidP="00D84974">
      <w:r w:rsidRPr="00D84974">
        <w:t>      1. Субъекты предпринимательства при осуществлении своей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p w:rsidR="00D84974" w:rsidRPr="00D84974" w:rsidRDefault="00D84974" w:rsidP="00D84974">
      <w:r w:rsidRPr="00D84974">
        <w:t>      1) установления организационно-правовых механизмов, обеспечивающих подотчетность, подконтрольность и прозрачность процедур принятия решений;</w:t>
      </w:r>
    </w:p>
    <w:p w:rsidR="00D84974" w:rsidRPr="00D84974" w:rsidRDefault="00D84974" w:rsidP="00D84974">
      <w:r w:rsidRPr="00D84974">
        <w:t>      2) соблюдения принципов добросовестной конкуренции;</w:t>
      </w:r>
    </w:p>
    <w:p w:rsidR="00D84974" w:rsidRPr="00D84974" w:rsidRDefault="00D84974" w:rsidP="00D84974">
      <w:r w:rsidRPr="00D84974">
        <w:t>      3) предотвращения конфликта интересов;</w:t>
      </w:r>
    </w:p>
    <w:p w:rsidR="00D84974" w:rsidRPr="00D84974" w:rsidRDefault="00D84974" w:rsidP="00D84974">
      <w:r w:rsidRPr="00D84974">
        <w:t>      4) принятия и соблюдения норм деловой этики;</w:t>
      </w:r>
    </w:p>
    <w:p w:rsidR="00D84974" w:rsidRPr="00D84974" w:rsidRDefault="00D84974" w:rsidP="00D84974">
      <w:r w:rsidRPr="00D84974">
        <w:t>      5) принятия мер по формированию антикоррупционной культуры;</w:t>
      </w:r>
    </w:p>
    <w:p w:rsidR="00D84974" w:rsidRPr="00D84974" w:rsidRDefault="00D84974" w:rsidP="00D84974">
      <w:r w:rsidRPr="00D84974">
        <w:t>      6) взаимодействия с государственными органами и иными организациями по вопросам предупреждения коррупции.</w:t>
      </w:r>
    </w:p>
    <w:p w:rsidR="00D84974" w:rsidRPr="00D84974" w:rsidRDefault="00D84974" w:rsidP="00D84974">
      <w:r w:rsidRPr="00D84974">
        <w:t>      2. Стандарты по предупреждению коррупции для субъектов предпринимательства могут разрабатываться и приниматься объединениями (ассоциациями, союзами) субъектов предпринимательства.</w:t>
      </w:r>
    </w:p>
    <w:p w:rsidR="00D84974" w:rsidRPr="00D84974" w:rsidRDefault="00D84974" w:rsidP="00D84974">
      <w:r w:rsidRPr="00D84974">
        <w:t xml:space="preserve">      3. В субъекте </w:t>
      </w:r>
      <w:proofErr w:type="spellStart"/>
      <w:r w:rsidRPr="00D84974">
        <w:t>квазигосударственного</w:t>
      </w:r>
      <w:proofErr w:type="spellEnd"/>
      <w:r w:rsidRPr="00D84974">
        <w:t xml:space="preserve"> сектора определяется структурное подразделение или ответственное лицо, исполняющее функции антикоррупционной комплаенс-службы, основной задачей которого является обеспечение соблюдения данной организацией и ее работниками законодательства Республики Казахстан о противодействии коррупции. При этом ответственное лицо, исполняющее функции антикоррупционной </w:t>
      </w:r>
      <w:r w:rsidRPr="00D84974">
        <w:lastRenderedPageBreak/>
        <w:t>комплаенс-службы, определяется с учетом потенциального конфликта интересов.</w:t>
      </w:r>
    </w:p>
    <w:p w:rsidR="00D84974" w:rsidRPr="00D84974" w:rsidRDefault="00D84974" w:rsidP="00D84974">
      <w:r w:rsidRPr="00D84974">
        <w:t xml:space="preserve">      Антикоррупционная комплаенс-служба осуществляет свои полномочия независимо от исполнительного органа, должностных лиц субъекта </w:t>
      </w:r>
      <w:proofErr w:type="spellStart"/>
      <w:r w:rsidRPr="00D84974">
        <w:t>квазигосударственного</w:t>
      </w:r>
      <w:proofErr w:type="spellEnd"/>
      <w:r w:rsidRPr="00D84974">
        <w:t xml:space="preserve"> сектора, подотчетна совету директоров, наблюдательному совету (при его наличии)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коррупции. Компетенция, организация и порядок деятельности антикоррупционной комплаенс-службы определяются внутренним актом субъекта </w:t>
      </w:r>
      <w:proofErr w:type="spellStart"/>
      <w:r w:rsidRPr="00D84974">
        <w:t>квазигосударственного</w:t>
      </w:r>
      <w:proofErr w:type="spellEnd"/>
      <w:r w:rsidRPr="00D84974">
        <w:t xml:space="preserve"> сектора.</w:t>
      </w:r>
    </w:p>
    <w:p w:rsidR="00D84974" w:rsidRPr="00D84974" w:rsidRDefault="00D84974" w:rsidP="00D84974">
      <w:pPr>
        <w:rPr>
          <w:u w:val="single"/>
        </w:rPr>
      </w:pPr>
      <w:r w:rsidRPr="00D84974">
        <w:rPr>
          <w:u w:val="single"/>
        </w:rPr>
        <w:t xml:space="preserve">      </w:t>
      </w:r>
      <w:proofErr w:type="gramStart"/>
      <w:r w:rsidRPr="00D84974">
        <w:rPr>
          <w:u w:val="single"/>
        </w:rPr>
        <w:t xml:space="preserve">Типовое положение об антикоррупционных комплаенс-службах в субъектах </w:t>
      </w:r>
      <w:proofErr w:type="spellStart"/>
      <w:r w:rsidRPr="00D84974">
        <w:rPr>
          <w:u w:val="single"/>
        </w:rPr>
        <w:t>квазигосударственного</w:t>
      </w:r>
      <w:proofErr w:type="spellEnd"/>
      <w:r w:rsidRPr="00D84974">
        <w:rPr>
          <w:u w:val="single"/>
        </w:rPr>
        <w:t xml:space="preserve"> сектора разрабатывается и утверждается уполномоченным органом по противодействию коррупции по согласованию с уполномоченным органом по предпринимательству.</w:t>
      </w:r>
      <w:proofErr w:type="gramEnd"/>
      <w:r>
        <w:rPr>
          <w:u w:val="single"/>
        </w:rPr>
        <w:t xml:space="preserve"> (Наше положение создано по типовому положению)</w:t>
      </w:r>
    </w:p>
    <w:p w:rsidR="00D84974" w:rsidRPr="00D84974" w:rsidRDefault="00D84974" w:rsidP="00D84974">
      <w:r w:rsidRPr="00D84974">
        <w:t xml:space="preserve">      Субъекты предпринимательства, не являющиеся субъектами </w:t>
      </w:r>
      <w:proofErr w:type="spellStart"/>
      <w:r w:rsidRPr="00D84974">
        <w:t>квазигосударственного</w:t>
      </w:r>
      <w:proofErr w:type="spellEnd"/>
      <w:r w:rsidRPr="00D84974">
        <w:t xml:space="preserve"> сектора, вправе создавать антикоррупционные комплаенс-службы.</w:t>
      </w:r>
    </w:p>
    <w:p w:rsidR="00D84974" w:rsidRPr="00D84974" w:rsidRDefault="00D84974" w:rsidP="00D84974">
      <w:r w:rsidRPr="00D84974">
        <w:t>      Сноска. Статья 16 с изменениями, внесенными законами РК от 06.10.2020 </w:t>
      </w:r>
      <w:hyperlink r:id="rId6" w:anchor="z149" w:history="1">
        <w:r w:rsidRPr="00D84974">
          <w:rPr>
            <w:rStyle w:val="a3"/>
          </w:rPr>
          <w:t>№ 365-VI</w:t>
        </w:r>
      </w:hyperlink>
      <w:r w:rsidRPr="00D84974">
        <w:t> (вводится в действие по истечении десяти календарных дней после дня его первого официального опубликования); от 08.06.2021 </w:t>
      </w:r>
      <w:hyperlink r:id="rId7" w:anchor="z35" w:history="1">
        <w:r w:rsidRPr="00D84974">
          <w:rPr>
            <w:rStyle w:val="a3"/>
          </w:rPr>
          <w:t>№ 48-VII</w:t>
        </w:r>
      </w:hyperlink>
      <w:r w:rsidRPr="00D84974">
        <w:t> (вводится в действие с 01.01.2022); от 03.01.2023 </w:t>
      </w:r>
      <w:hyperlink r:id="rId8" w:anchor="z285" w:history="1">
        <w:r w:rsidRPr="00D84974">
          <w:rPr>
            <w:rStyle w:val="a3"/>
          </w:rPr>
          <w:t>№ 188-VII</w:t>
        </w:r>
      </w:hyperlink>
      <w:r w:rsidRPr="00D84974">
        <w:t> (порядок введения в действие см. </w:t>
      </w:r>
      <w:hyperlink r:id="rId9" w:anchor="z362" w:history="1">
        <w:r w:rsidRPr="00D84974">
          <w:rPr>
            <w:rStyle w:val="a3"/>
          </w:rPr>
          <w:t>ст. 2</w:t>
        </w:r>
      </w:hyperlink>
      <w:r w:rsidRPr="00D84974">
        <w:t>).</w:t>
      </w:r>
      <w:r w:rsidRPr="00D84974">
        <w:br/>
      </w:r>
    </w:p>
    <w:p w:rsidR="00D84974" w:rsidRPr="00D84974" w:rsidRDefault="00D84974" w:rsidP="00D84974">
      <w:bookmarkStart w:id="1" w:name="z17"/>
      <w:bookmarkEnd w:id="1"/>
      <w:r w:rsidRPr="00D84974">
        <w:rPr>
          <w:b/>
          <w:bCs/>
        </w:rPr>
        <w:t>Статья 17. Национальный доклад о противодействии коррупции</w:t>
      </w:r>
    </w:p>
    <w:p w:rsidR="00D84974" w:rsidRPr="00D84974" w:rsidRDefault="00D84974" w:rsidP="00D84974"/>
    <w:p w:rsidR="00D84974" w:rsidRDefault="00D84974"/>
    <w:sectPr w:rsidR="00D84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93"/>
    <w:multiLevelType w:val="multilevel"/>
    <w:tmpl w:val="1744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3A3CB8"/>
    <w:multiLevelType w:val="multilevel"/>
    <w:tmpl w:val="3C66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74"/>
    <w:rsid w:val="002E6799"/>
    <w:rsid w:val="00526697"/>
    <w:rsid w:val="006D6E6A"/>
    <w:rsid w:val="00D02884"/>
    <w:rsid w:val="00D8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84"/>
    <w:pPr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9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84"/>
    <w:pPr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9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230000018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Z21000000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200000036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23000001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КазАСТ</dc:creator>
  <cp:lastModifiedBy>КазАСТ</cp:lastModifiedBy>
  <cp:revision>1</cp:revision>
  <dcterms:created xsi:type="dcterms:W3CDTF">2023-05-29T06:05:00Z</dcterms:created>
  <dcterms:modified xsi:type="dcterms:W3CDTF">2023-05-30T04:06:00Z</dcterms:modified>
</cp:coreProperties>
</file>